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82" w:rsidRDefault="007D3B82" w:rsidP="007D3B82">
      <w:pPr>
        <w:pStyle w:val="Heading1"/>
      </w:pPr>
      <w:r w:rsidRPr="00531F62">
        <w:t>Purpose</w:t>
      </w:r>
    </w:p>
    <w:p w:rsidR="008D6871" w:rsidRDefault="008D6871" w:rsidP="00637055">
      <w:pPr>
        <w:ind w:left="680" w:hanging="680"/>
      </w:pPr>
      <w:r>
        <w:t>1.1</w:t>
      </w:r>
      <w:r>
        <w:tab/>
      </w:r>
      <w:r w:rsidR="009A44F4" w:rsidRPr="0044052C">
        <w:t>To ensure that glass and hard plastic are adequately controlled</w:t>
      </w:r>
      <w:r w:rsidR="009A44F4">
        <w:t>.</w:t>
      </w:r>
    </w:p>
    <w:p w:rsidR="007D3B82" w:rsidRDefault="007D3B82" w:rsidP="007D3B82">
      <w:pPr>
        <w:pStyle w:val="Heading1"/>
      </w:pPr>
      <w:r w:rsidRPr="00531F62">
        <w:t>Scope</w:t>
      </w:r>
    </w:p>
    <w:p w:rsidR="00FC6DA1" w:rsidRPr="00FC6DA1" w:rsidRDefault="008D6871" w:rsidP="00637055">
      <w:pPr>
        <w:ind w:left="720" w:hanging="720"/>
      </w:pPr>
      <w:r>
        <w:t>2.1</w:t>
      </w:r>
      <w:r>
        <w:tab/>
      </w:r>
      <w:r w:rsidR="009A44F4" w:rsidRPr="0044052C">
        <w:rPr>
          <w:lang w:val="en-ZA"/>
        </w:rPr>
        <w:t xml:space="preserve">Applies to </w:t>
      </w:r>
      <w:r w:rsidR="009A44F4">
        <w:rPr>
          <w:lang w:val="en-ZA"/>
        </w:rPr>
        <w:t xml:space="preserve">the monitoring and control of </w:t>
      </w:r>
      <w:r w:rsidR="009A44F4" w:rsidRPr="0044052C">
        <w:rPr>
          <w:lang w:val="en-ZA"/>
        </w:rPr>
        <w:t>all glass and brittle</w:t>
      </w:r>
      <w:r w:rsidR="009A44F4">
        <w:rPr>
          <w:lang w:val="en-ZA"/>
        </w:rPr>
        <w:t xml:space="preserve"> plastic articles in the processing facility, </w:t>
      </w:r>
      <w:r w:rsidR="009A44F4">
        <w:t>the action required if an incident occurs and</w:t>
      </w:r>
      <w:r w:rsidR="009A44F4" w:rsidRPr="0044052C">
        <w:rPr>
          <w:lang w:val="en-ZA"/>
        </w:rPr>
        <w:t xml:space="preserve"> the process for reporting glass and b</w:t>
      </w:r>
      <w:r w:rsidR="009A44F4">
        <w:rPr>
          <w:lang w:val="en-ZA"/>
        </w:rPr>
        <w:t>rittle plastic breakage</w:t>
      </w:r>
      <w:r w:rsidR="009A44F4" w:rsidRPr="0044052C">
        <w:rPr>
          <w:lang w:val="en-ZA"/>
        </w:rPr>
        <w:t>.</w:t>
      </w:r>
    </w:p>
    <w:p w:rsidR="007D3B82" w:rsidRDefault="007D3B82" w:rsidP="007D3B82">
      <w:pPr>
        <w:pStyle w:val="Heading1"/>
      </w:pPr>
      <w:r w:rsidRPr="00531F62">
        <w:t>Responsibility</w:t>
      </w:r>
    </w:p>
    <w:p w:rsidR="007D3B82" w:rsidRPr="002662C8" w:rsidRDefault="007D3B82" w:rsidP="00886FD7">
      <w:pPr>
        <w:ind w:left="680" w:hanging="680"/>
        <w:rPr>
          <w:rStyle w:val="IntenseEmphasis"/>
          <w:color w:val="31849B" w:themeColor="accent5" w:themeShade="BF"/>
        </w:rPr>
      </w:pPr>
      <w:r w:rsidRPr="002662C8">
        <w:rPr>
          <w:rStyle w:val="IntenseEmphasis"/>
          <w:b w:val="0"/>
          <w:color w:val="000000" w:themeColor="text1"/>
        </w:rPr>
        <w:t>3.1</w:t>
      </w:r>
      <w:r w:rsidRPr="002662C8">
        <w:rPr>
          <w:rStyle w:val="IntenseEmphasis"/>
          <w:color w:val="31849B" w:themeColor="accent5" w:themeShade="BF"/>
        </w:rPr>
        <w:tab/>
        <w:t>[Name of Personal Responsible]</w:t>
      </w:r>
    </w:p>
    <w:p w:rsidR="007D3B82" w:rsidRDefault="007D3B82" w:rsidP="007D3B82">
      <w:pPr>
        <w:pStyle w:val="Heading1"/>
      </w:pPr>
      <w:r w:rsidRPr="00531F62">
        <w:t>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7D3B82" w:rsidTr="005F6753">
        <w:trPr>
          <w:trHeight w:val="283"/>
        </w:trPr>
        <w:tc>
          <w:tcPr>
            <w:tcW w:w="1668" w:type="dxa"/>
            <w:vAlign w:val="center"/>
          </w:tcPr>
          <w:p w:rsidR="007D3B82" w:rsidRPr="009A44F4" w:rsidRDefault="009A44F4" w:rsidP="005F6753">
            <w:pPr>
              <w:spacing w:after="0"/>
              <w:jc w:val="left"/>
              <w:rPr>
                <w:b/>
                <w:lang w:val="en-US"/>
              </w:rPr>
            </w:pPr>
            <w:r w:rsidRPr="009A44F4">
              <w:rPr>
                <w:b/>
                <w:lang w:val="en-US"/>
              </w:rPr>
              <w:t>Glass</w:t>
            </w:r>
          </w:p>
        </w:tc>
        <w:tc>
          <w:tcPr>
            <w:tcW w:w="7903" w:type="dxa"/>
            <w:vAlign w:val="center"/>
          </w:tcPr>
          <w:p w:rsidR="007D3B82" w:rsidRPr="009A44F4" w:rsidRDefault="009A44F4" w:rsidP="00637055">
            <w:pPr>
              <w:spacing w:after="0"/>
              <w:rPr>
                <w:lang w:val="en-ZA"/>
              </w:rPr>
            </w:pPr>
            <w:r w:rsidRPr="002866C6">
              <w:rPr>
                <w:lang w:val="en-ZA"/>
              </w:rPr>
              <w:t>“Glass” includes ceramic as well as brittle plastic articles.</w:t>
            </w:r>
          </w:p>
        </w:tc>
      </w:tr>
    </w:tbl>
    <w:p w:rsidR="00DD0574" w:rsidRPr="00A57E7F" w:rsidRDefault="00DD0574" w:rsidP="00DD0574">
      <w:pPr>
        <w:pStyle w:val="Heading1"/>
      </w:pPr>
      <w:r>
        <w:t>Instructions and Guidelines</w:t>
      </w:r>
    </w:p>
    <w:p w:rsidR="009A44F4" w:rsidRPr="002866C6" w:rsidRDefault="00637055" w:rsidP="00637055">
      <w:pPr>
        <w:pStyle w:val="Heading2"/>
      </w:pPr>
      <w:r>
        <w:t>5.1</w:t>
      </w:r>
      <w:r>
        <w:tab/>
        <w:t>Precautionary Measures</w:t>
      </w:r>
    </w:p>
    <w:p w:rsidR="009A44F4" w:rsidRPr="002866C6" w:rsidRDefault="00637055" w:rsidP="00637055">
      <w:pPr>
        <w:ind w:left="1400" w:hanging="680"/>
      </w:pPr>
      <w:r>
        <w:t>5.1.1</w:t>
      </w:r>
      <w:r>
        <w:tab/>
      </w:r>
      <w:r w:rsidR="009A44F4" w:rsidRPr="002866C6">
        <w:t>All glass bottles, containers, glass-faced clocks, thermos flasks, and related glass materials shall not be permitted in any part of the factory unless approved by management</w:t>
      </w:r>
      <w:r>
        <w:t>.</w:t>
      </w:r>
      <w:r w:rsidR="009A44F4" w:rsidRPr="002866C6">
        <w:t xml:space="preserve">  </w:t>
      </w:r>
    </w:p>
    <w:p w:rsidR="009A44F4" w:rsidRPr="002866C6" w:rsidRDefault="00637055" w:rsidP="00637055">
      <w:pPr>
        <w:ind w:left="1400" w:hanging="680"/>
      </w:pPr>
      <w:r>
        <w:t>5.1.</w:t>
      </w:r>
      <w:r>
        <w:t>2</w:t>
      </w:r>
      <w:r>
        <w:tab/>
      </w:r>
      <w:r w:rsidR="009A44F4" w:rsidRPr="002866C6">
        <w:t>All fluorescent tubes and high intensity lamps should be protected by plastic s</w:t>
      </w:r>
      <w:r w:rsidR="009A44F4">
        <w:t>hielding in areas of the facility</w:t>
      </w:r>
      <w:r w:rsidR="009A44F4" w:rsidRPr="002866C6">
        <w:t xml:space="preserve"> where there is open production, raw material or food packaging storage, finished product, employee amenities, engineering departments, etc</w:t>
      </w:r>
      <w:r>
        <w:t>.</w:t>
      </w:r>
    </w:p>
    <w:p w:rsidR="009A44F4" w:rsidRPr="002866C6" w:rsidRDefault="00637055" w:rsidP="00637055">
      <w:pPr>
        <w:ind w:left="1400" w:hanging="680"/>
      </w:pPr>
      <w:r>
        <w:t>5.1.</w:t>
      </w:r>
      <w:r>
        <w:t>3</w:t>
      </w:r>
      <w:r>
        <w:tab/>
      </w:r>
      <w:r w:rsidR="009A44F4" w:rsidRPr="002866C6">
        <w:t>Separate plastic shields, which protect fluorescent tubes, should only be cleaned during non-production hours</w:t>
      </w:r>
      <w:r>
        <w:t>.</w:t>
      </w:r>
    </w:p>
    <w:p w:rsidR="009A44F4" w:rsidRPr="002866C6" w:rsidRDefault="00637055" w:rsidP="00637055">
      <w:pPr>
        <w:ind w:left="1400" w:hanging="680"/>
      </w:pPr>
      <w:r>
        <w:t>5.1.</w:t>
      </w:r>
      <w:r>
        <w:t>4</w:t>
      </w:r>
      <w:r>
        <w:tab/>
      </w:r>
      <w:r w:rsidR="009A44F4" w:rsidRPr="002866C6">
        <w:t>Fluorescent tubes, UV lights, bulbs etc. should only be cleaned or changed during non-production hours</w:t>
      </w:r>
      <w:r>
        <w:t>.</w:t>
      </w:r>
    </w:p>
    <w:p w:rsidR="009A44F4" w:rsidRPr="002866C6" w:rsidRDefault="00637055" w:rsidP="00637055">
      <w:pPr>
        <w:ind w:left="1400" w:hanging="680"/>
      </w:pPr>
      <w:r>
        <w:t>5.1.</w:t>
      </w:r>
      <w:r>
        <w:t>5</w:t>
      </w:r>
      <w:r>
        <w:tab/>
      </w:r>
      <w:r w:rsidR="009A44F4" w:rsidRPr="002866C6">
        <w:t xml:space="preserve">UV fly-killing equipment should </w:t>
      </w:r>
      <w:r w:rsidR="009A44F4" w:rsidRPr="00637055">
        <w:rPr>
          <w:b/>
        </w:rPr>
        <w:t>not</w:t>
      </w:r>
      <w:r w:rsidR="009A44F4" w:rsidRPr="002866C6">
        <w:t xml:space="preserve"> be sited over open production/packing or in areas where accidental breakage may cause contamination</w:t>
      </w:r>
      <w:r>
        <w:t>.</w:t>
      </w:r>
    </w:p>
    <w:p w:rsidR="009A44F4" w:rsidRPr="002866C6" w:rsidRDefault="00637055" w:rsidP="00637055">
      <w:pPr>
        <w:ind w:left="1400" w:hanging="680"/>
      </w:pPr>
      <w:r>
        <w:t>5.1.</w:t>
      </w:r>
      <w:r>
        <w:t>6</w:t>
      </w:r>
      <w:r>
        <w:tab/>
      </w:r>
      <w:r w:rsidR="009A44F4" w:rsidRPr="002866C6">
        <w:t>Windows in raw material, production and packing areas should be checked DAILY to ensure that the glazing is not cracked or broken</w:t>
      </w:r>
      <w:r>
        <w:t>.</w:t>
      </w:r>
    </w:p>
    <w:p w:rsidR="009A44F4" w:rsidRPr="002866C6" w:rsidRDefault="00637055" w:rsidP="00637055">
      <w:pPr>
        <w:ind w:left="1400" w:hanging="680"/>
      </w:pPr>
      <w:r>
        <w:t>5.1.</w:t>
      </w:r>
      <w:r>
        <w:t>7</w:t>
      </w:r>
      <w:r>
        <w:tab/>
      </w:r>
      <w:r w:rsidR="009A44F4" w:rsidRPr="002866C6">
        <w:t>Window repair/replacements should be carried o</w:t>
      </w:r>
      <w:r w:rsidR="0065381A">
        <w:t xml:space="preserve">ut during non-production hours. </w:t>
      </w:r>
      <w:bookmarkStart w:id="0" w:name="_GoBack"/>
      <w:bookmarkEnd w:id="0"/>
      <w:r w:rsidR="009A44F4" w:rsidRPr="002866C6">
        <w:t>Suitable screening should be devised to prevent spread of glass splinters, etc</w:t>
      </w:r>
      <w:r>
        <w:t>.</w:t>
      </w:r>
    </w:p>
    <w:p w:rsidR="009A44F4" w:rsidRPr="002866C6" w:rsidRDefault="00637055" w:rsidP="00637055">
      <w:pPr>
        <w:ind w:left="1400" w:hanging="680"/>
      </w:pPr>
      <w:r>
        <w:t>5.1.</w:t>
      </w:r>
      <w:r>
        <w:t>8</w:t>
      </w:r>
      <w:r>
        <w:tab/>
      </w:r>
      <w:r w:rsidR="009A44F4" w:rsidRPr="002866C6">
        <w:t xml:space="preserve">Wherever possible, glass in control gauges and tank sight glasses should be replaced </w:t>
      </w:r>
      <w:r w:rsidR="009A44F4" w:rsidRPr="00637055">
        <w:rPr>
          <w:b/>
        </w:rPr>
        <w:t>before installation</w:t>
      </w:r>
      <w:r w:rsidR="009A44F4" w:rsidRPr="002866C6">
        <w:t>, with plastic materials; machine guards should be of shatterproof plastic</w:t>
      </w:r>
      <w:r>
        <w:t>.</w:t>
      </w:r>
    </w:p>
    <w:p w:rsidR="009A44F4" w:rsidRPr="002866C6" w:rsidRDefault="00637055" w:rsidP="00637055">
      <w:pPr>
        <w:ind w:left="1400" w:hanging="680"/>
      </w:pPr>
      <w:r>
        <w:t>5.1.</w:t>
      </w:r>
      <w:r>
        <w:t>9</w:t>
      </w:r>
      <w:r>
        <w:tab/>
      </w:r>
      <w:r w:rsidR="009A44F4" w:rsidRPr="002866C6">
        <w:t>Glass thermometers should not be used on any part of the site</w:t>
      </w:r>
      <w:r>
        <w:t>.</w:t>
      </w:r>
    </w:p>
    <w:p w:rsidR="009A44F4" w:rsidRPr="002866C6" w:rsidRDefault="00637055" w:rsidP="00637055">
      <w:pPr>
        <w:ind w:left="1400" w:hanging="680"/>
      </w:pPr>
      <w:r>
        <w:lastRenderedPageBreak/>
        <w:t>5.1.1</w:t>
      </w:r>
      <w:r>
        <w:t>0</w:t>
      </w:r>
      <w:r>
        <w:tab/>
      </w:r>
      <w:r w:rsidR="009A44F4" w:rsidRPr="002866C6">
        <w:t>Visitors should be reminded of glass prevention requirements prior to them entering food processing and storage areas</w:t>
      </w:r>
      <w:r>
        <w:t>.</w:t>
      </w:r>
    </w:p>
    <w:p w:rsidR="009A44F4" w:rsidRPr="002866C6" w:rsidRDefault="00637055" w:rsidP="00637055">
      <w:pPr>
        <w:ind w:left="1400" w:hanging="680"/>
      </w:pPr>
      <w:r>
        <w:t>5.1.1</w:t>
      </w:r>
      <w:r>
        <w:t>1</w:t>
      </w:r>
      <w:r>
        <w:tab/>
      </w:r>
      <w:r w:rsidR="009A44F4" w:rsidRPr="002866C6">
        <w:t>All managers and key employees should be provided with f</w:t>
      </w:r>
      <w:r w:rsidR="009A44F4" w:rsidRPr="007839F8">
        <w:t xml:space="preserve"> </w:t>
      </w:r>
      <w:r w:rsidR="009A44F4" w:rsidRPr="002866C6">
        <w:t>Prior to any hard plastic being used on any part of the site, its ‘shatter-ability’ should be determined. If the plastic is found to shatter easily into small pieces, its use should not be permitted</w:t>
      </w:r>
      <w:r>
        <w:t>.</w:t>
      </w:r>
    </w:p>
    <w:p w:rsidR="009A44F4" w:rsidRPr="002866C6" w:rsidRDefault="00637055" w:rsidP="00637055">
      <w:pPr>
        <w:ind w:left="1400" w:hanging="680"/>
      </w:pPr>
      <w:r>
        <w:t>5.1.1</w:t>
      </w:r>
      <w:r>
        <w:t>2</w:t>
      </w:r>
      <w:r>
        <w:tab/>
      </w:r>
      <w:r w:rsidR="009A44F4" w:rsidRPr="002866C6">
        <w:t>In particular, the practice of tea- and coffee making in production areas should be banned due to breakage hazards.  In addition, the transfer of food from canteen facilities in/on earthenware crockery to other areas of the site shall not be permitted</w:t>
      </w:r>
      <w:r>
        <w:t>.</w:t>
      </w:r>
    </w:p>
    <w:p w:rsidR="009A44F4" w:rsidRDefault="00637055" w:rsidP="00637055">
      <w:pPr>
        <w:ind w:left="1400" w:hanging="680"/>
      </w:pPr>
      <w:r>
        <w:t>5.1.1</w:t>
      </w:r>
      <w:r>
        <w:t>3</w:t>
      </w:r>
      <w:r>
        <w:tab/>
      </w:r>
      <w:r w:rsidR="009A44F4">
        <w:t>F</w:t>
      </w:r>
      <w:r w:rsidR="009A44F4" w:rsidRPr="002866C6">
        <w:t>ormal training to ensure that they are aware of glass and hard plastic prevention measures</w:t>
      </w:r>
    </w:p>
    <w:p w:rsidR="009A44F4" w:rsidRPr="002866C6" w:rsidRDefault="00637055" w:rsidP="00637055">
      <w:pPr>
        <w:ind w:left="1400" w:hanging="680"/>
      </w:pPr>
      <w:r>
        <w:t>5.1.1</w:t>
      </w:r>
      <w:r>
        <w:t>4</w:t>
      </w:r>
      <w:r>
        <w:tab/>
      </w:r>
      <w:r w:rsidR="009A44F4" w:rsidRPr="002866C6">
        <w:t>Contractors should be made aware of the ban on glass materials and brittle hard plastic equipment on site</w:t>
      </w:r>
      <w:r>
        <w:t>.</w:t>
      </w:r>
    </w:p>
    <w:p w:rsidR="009A44F4" w:rsidRPr="00F13953" w:rsidRDefault="00637055" w:rsidP="00F13953">
      <w:pPr>
        <w:ind w:left="1400" w:hanging="680"/>
      </w:pPr>
      <w:r>
        <w:t>5.1.1</w:t>
      </w:r>
      <w:r>
        <w:t>5</w:t>
      </w:r>
      <w:r>
        <w:tab/>
      </w:r>
      <w:r w:rsidR="009A44F4" w:rsidRPr="002866C6">
        <w:t>Daily checks shall be carried out as per pre-start procedures. Documentation to confirm checks and action taken shall be maintained and shall be scrutinized by the manager.</w:t>
      </w:r>
    </w:p>
    <w:p w:rsidR="00637055" w:rsidRPr="00637055" w:rsidRDefault="00637055" w:rsidP="00637055">
      <w:pPr>
        <w:pStyle w:val="Heading2"/>
      </w:pPr>
      <w:r w:rsidRPr="00637055">
        <w:t>5.2</w:t>
      </w:r>
      <w:r w:rsidRPr="00637055">
        <w:tab/>
        <w:t>Incident Management</w:t>
      </w:r>
    </w:p>
    <w:p w:rsidR="009A44F4" w:rsidRPr="002866C6" w:rsidRDefault="00637055" w:rsidP="00637055">
      <w:pPr>
        <w:ind w:left="1400" w:hanging="680"/>
      </w:pPr>
      <w:r>
        <w:t>5.2.1</w:t>
      </w:r>
      <w:r>
        <w:tab/>
      </w:r>
      <w:r w:rsidRPr="00B626B5">
        <w:t>Should there be a glass/hard brittle plastic incident; the glass breakage procedure shall be closely followed</w:t>
      </w:r>
      <w:r w:rsidR="009A44F4" w:rsidRPr="002866C6">
        <w:t>.</w:t>
      </w:r>
    </w:p>
    <w:p w:rsidR="009A44F4" w:rsidRDefault="00637055" w:rsidP="00637055">
      <w:pPr>
        <w:ind w:left="1400" w:hanging="680"/>
      </w:pPr>
      <w:r>
        <w:t>5.2.2</w:t>
      </w:r>
      <w:r>
        <w:tab/>
      </w:r>
      <w:r w:rsidR="009A44F4" w:rsidRPr="00BC55FA">
        <w:t>Employees, contractors or other persons visiting the designated areas are obliged to abide by this procedure</w:t>
      </w:r>
      <w:r w:rsidR="009A44F4">
        <w:t>.</w:t>
      </w:r>
    </w:p>
    <w:p w:rsidR="009A44F4" w:rsidRPr="002866C6" w:rsidRDefault="009A44F4" w:rsidP="009A44F4">
      <w:pPr>
        <w:pStyle w:val="DefaultText"/>
        <w:rPr>
          <w:rFonts w:ascii="Tahoma" w:hAnsi="Tahoma" w:cs="Tahoma"/>
          <w:b/>
          <w:sz w:val="16"/>
          <w:szCs w:val="16"/>
        </w:rPr>
      </w:pPr>
    </w:p>
    <w:p w:rsidR="008D6871" w:rsidRPr="00886FD7" w:rsidRDefault="008D6871" w:rsidP="000839F6">
      <w:pPr>
        <w:ind w:left="680" w:hanging="680"/>
      </w:pPr>
    </w:p>
    <w:p w:rsidR="008D6871" w:rsidRDefault="008D6871" w:rsidP="008D6871"/>
    <w:p w:rsidR="00FC6DA1" w:rsidRDefault="00FC6DA1" w:rsidP="00FC6DA1">
      <w:pPr>
        <w:rPr>
          <w:lang w:val="en-ZA"/>
        </w:rPr>
      </w:pPr>
    </w:p>
    <w:p w:rsidR="00637055" w:rsidRDefault="00637055" w:rsidP="00FC6DA1">
      <w:pPr>
        <w:rPr>
          <w:lang w:val="en-ZA"/>
        </w:rPr>
      </w:pPr>
    </w:p>
    <w:p w:rsidR="00886FD7" w:rsidRDefault="00886FD7" w:rsidP="00FC6DA1">
      <w:pPr>
        <w:rPr>
          <w:lang w:val="en-ZA"/>
        </w:rPr>
      </w:pPr>
    </w:p>
    <w:p w:rsidR="00886FD7" w:rsidRDefault="00886FD7" w:rsidP="00FC6DA1">
      <w:pPr>
        <w:rPr>
          <w:lang w:val="en-ZA"/>
        </w:rPr>
      </w:pPr>
    </w:p>
    <w:p w:rsidR="00886FD7" w:rsidRDefault="00886FD7" w:rsidP="00FC6DA1">
      <w:pPr>
        <w:rPr>
          <w:lang w:val="en-ZA"/>
        </w:rPr>
      </w:pPr>
    </w:p>
    <w:p w:rsidR="00886FD7" w:rsidRDefault="00886FD7" w:rsidP="00FC6DA1">
      <w:pPr>
        <w:rPr>
          <w:lang w:val="en-ZA"/>
        </w:rPr>
      </w:pPr>
    </w:p>
    <w:p w:rsidR="00001BBD" w:rsidRDefault="00001BBD" w:rsidP="00FC6DA1">
      <w:pPr>
        <w:rPr>
          <w:lang w:val="en-ZA"/>
        </w:rPr>
      </w:pPr>
    </w:p>
    <w:p w:rsidR="00001BBD" w:rsidRDefault="00001BBD" w:rsidP="00FC6DA1">
      <w:pPr>
        <w:rPr>
          <w:lang w:val="en-ZA"/>
        </w:rPr>
      </w:pPr>
    </w:p>
    <w:p w:rsidR="00F13953" w:rsidRDefault="00F13953" w:rsidP="00FC6DA1">
      <w:pPr>
        <w:rPr>
          <w:lang w:val="en-ZA"/>
        </w:rPr>
      </w:pPr>
    </w:p>
    <w:p w:rsidR="00001BBD" w:rsidRPr="00FC6DA1" w:rsidRDefault="00001BBD" w:rsidP="00FC6DA1">
      <w:pPr>
        <w:rPr>
          <w:lang w:val="en-ZA"/>
        </w:rPr>
      </w:pPr>
    </w:p>
    <w:p w:rsidR="00F3011B" w:rsidRPr="008678D3" w:rsidRDefault="00F3011B" w:rsidP="007D3B82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0B7" w:rsidRDefault="001C20B7">
      <w:r>
        <w:separator/>
      </w:r>
    </w:p>
  </w:endnote>
  <w:endnote w:type="continuationSeparator" w:id="0">
    <w:p w:rsidR="001C20B7" w:rsidRDefault="001C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8"/>
      <w:gridCol w:w="3067"/>
      <w:gridCol w:w="1702"/>
      <w:gridCol w:w="3084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Tr="007A33CB">
      <w:trPr>
        <w:trHeight w:val="57"/>
      </w:trPr>
      <w:tc>
        <w:tcPr>
          <w:tcW w:w="898" w:type="pct"/>
          <w:vAlign w:val="center"/>
        </w:tcPr>
        <w:p w:rsidR="00573392" w:rsidRPr="00E567F1" w:rsidRDefault="00637055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Procedure 10.2</w:t>
          </w:r>
        </w:p>
      </w:tc>
      <w:tc>
        <w:tcPr>
          <w:tcW w:w="1602" w:type="pct"/>
          <w:vAlign w:val="center"/>
        </w:tcPr>
        <w:p w:rsidR="00573392" w:rsidRPr="00E567F1" w:rsidRDefault="00637055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Glass Breakage Procedure</w:t>
          </w:r>
        </w:p>
      </w:tc>
      <w:tc>
        <w:tcPr>
          <w:tcW w:w="889" w:type="pct"/>
          <w:vAlign w:val="center"/>
        </w:tcPr>
        <w:p w:rsidR="00573392" w:rsidRPr="00E567F1" w:rsidRDefault="00637055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Procedure 10.3</w:t>
          </w:r>
        </w:p>
      </w:tc>
      <w:tc>
        <w:tcPr>
          <w:tcW w:w="1611" w:type="pct"/>
          <w:vAlign w:val="center"/>
        </w:tcPr>
        <w:p w:rsidR="00573392" w:rsidRPr="00E567F1" w:rsidRDefault="00637055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Glass Items Replacement Procedure</w:t>
          </w:r>
        </w:p>
      </w:tc>
    </w:tr>
    <w:tr w:rsidR="00FC6DA1" w:rsidTr="007A33CB">
      <w:trPr>
        <w:trHeight w:val="57"/>
      </w:trPr>
      <w:tc>
        <w:tcPr>
          <w:tcW w:w="898" w:type="pct"/>
          <w:vAlign w:val="center"/>
        </w:tcPr>
        <w:p w:rsidR="00FC6DA1" w:rsidRDefault="00637055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10.1</w:t>
          </w:r>
        </w:p>
      </w:tc>
      <w:tc>
        <w:tcPr>
          <w:tcW w:w="1602" w:type="pct"/>
          <w:vAlign w:val="center"/>
        </w:tcPr>
        <w:p w:rsidR="00FC6DA1" w:rsidRDefault="00637055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Glass Register</w:t>
          </w:r>
        </w:p>
      </w:tc>
      <w:tc>
        <w:tcPr>
          <w:tcW w:w="889" w:type="pct"/>
          <w:vAlign w:val="center"/>
        </w:tcPr>
        <w:p w:rsidR="00FC6DA1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0839F6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637055">
            <w:rPr>
              <w:rFonts w:cs="Tahoma"/>
              <w:bCs/>
              <w:color w:val="7F7F7F" w:themeColor="text1" w:themeTint="80"/>
              <w:sz w:val="18"/>
              <w:szCs w:val="18"/>
            </w:rPr>
            <w:t>10.2</w:t>
          </w:r>
        </w:p>
      </w:tc>
      <w:tc>
        <w:tcPr>
          <w:tcW w:w="1611" w:type="pct"/>
          <w:vAlign w:val="center"/>
        </w:tcPr>
        <w:p w:rsidR="00637055" w:rsidRPr="00E567F1" w:rsidRDefault="00637055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Glass Breakage Incident Report</w:t>
          </w:r>
        </w:p>
      </w:tc>
    </w:tr>
    <w:tr w:rsidR="00637055" w:rsidTr="007A33CB">
      <w:trPr>
        <w:trHeight w:val="57"/>
      </w:trPr>
      <w:tc>
        <w:tcPr>
          <w:tcW w:w="898" w:type="pct"/>
          <w:vAlign w:val="center"/>
        </w:tcPr>
        <w:p w:rsidR="00637055" w:rsidRDefault="00637055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10.3</w:t>
          </w:r>
        </w:p>
      </w:tc>
      <w:tc>
        <w:tcPr>
          <w:tcW w:w="1602" w:type="pct"/>
          <w:vAlign w:val="center"/>
        </w:tcPr>
        <w:p w:rsidR="00637055" w:rsidRDefault="00637055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Glass Items Replacement Register</w:t>
          </w:r>
        </w:p>
      </w:tc>
      <w:tc>
        <w:tcPr>
          <w:tcW w:w="889" w:type="pct"/>
          <w:vAlign w:val="center"/>
        </w:tcPr>
        <w:p w:rsidR="00637055" w:rsidRDefault="00637055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  <w:tc>
        <w:tcPr>
          <w:tcW w:w="1611" w:type="pct"/>
          <w:vAlign w:val="center"/>
        </w:tcPr>
        <w:p w:rsidR="00637055" w:rsidRDefault="00637055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9A44F4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Glass and Hard Plastic Procedure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9A44F4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Foreign Body Control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65381A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65381A">
            <w:rPr>
              <w:noProof/>
              <w:color w:val="7F7F7F" w:themeColor="text1" w:themeTint="80"/>
              <w:sz w:val="18"/>
              <w:szCs w:val="18"/>
            </w:rPr>
            <w:t>2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9A44F4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Production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Procedure</w:t>
          </w:r>
          <w:r w:rsidR="007D3B82">
            <w:rPr>
              <w:color w:val="7F7F7F" w:themeColor="text1" w:themeTint="80"/>
              <w:sz w:val="18"/>
              <w:szCs w:val="18"/>
            </w:rPr>
            <w:t xml:space="preserve"> </w:t>
          </w:r>
          <w:r w:rsidR="009A44F4">
            <w:rPr>
              <w:color w:val="7F7F7F" w:themeColor="text1" w:themeTint="80"/>
              <w:sz w:val="18"/>
              <w:szCs w:val="18"/>
            </w:rPr>
            <w:t>10.1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0B7" w:rsidRDefault="001C20B7">
      <w:r>
        <w:separator/>
      </w:r>
    </w:p>
  </w:footnote>
  <w:footnote w:type="continuationSeparator" w:id="0">
    <w:p w:rsidR="001C20B7" w:rsidRDefault="001C2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7D3B82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 w:rsidRPr="00E55B1A">
      <w:rPr>
        <w:rFonts w:asciiTheme="minorHAnsi" w:hAnsiTheme="minorHAnsi"/>
        <w:sz w:val="32"/>
        <w:szCs w:val="32"/>
      </w:rPr>
      <w:t xml:space="preserve">Procedure </w:t>
    </w:r>
    <w:bookmarkEnd w:id="1"/>
    <w:r w:rsidR="009A44F4">
      <w:rPr>
        <w:rFonts w:asciiTheme="minorHAnsi" w:hAnsiTheme="minorHAnsi"/>
        <w:sz w:val="32"/>
        <w:szCs w:val="32"/>
      </w:rPr>
      <w:t>10.1</w:t>
    </w:r>
  </w:p>
  <w:p w:rsidR="00D339E5" w:rsidRPr="009A44F4" w:rsidRDefault="009A44F4" w:rsidP="009A44F4">
    <w:pPr>
      <w:pStyle w:val="Title"/>
      <w:rPr>
        <w:color w:val="auto"/>
        <w:lang w:val="en-ZA"/>
      </w:rPr>
    </w:pPr>
    <w:r>
      <w:rPr>
        <w:lang w:val="en-ZA"/>
      </w:rPr>
      <w:t xml:space="preserve">Glass and Hard Plastic </w:t>
    </w:r>
    <w:r w:rsidRPr="002866C6">
      <w:rPr>
        <w:lang w:val="en-ZA"/>
      </w:rPr>
      <w:t>Procedure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CCA6BA4"/>
    <w:multiLevelType w:val="hybridMultilevel"/>
    <w:tmpl w:val="8D5205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00D83"/>
    <w:multiLevelType w:val="hybridMultilevel"/>
    <w:tmpl w:val="CA5A732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20B7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7B2"/>
    <w:rsid w:val="00294818"/>
    <w:rsid w:val="002A3E6D"/>
    <w:rsid w:val="002A7535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37055"/>
    <w:rsid w:val="00645277"/>
    <w:rsid w:val="00646C36"/>
    <w:rsid w:val="0065381A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80150C"/>
    <w:rsid w:val="00807285"/>
    <w:rsid w:val="008109AB"/>
    <w:rsid w:val="0081112A"/>
    <w:rsid w:val="008134A1"/>
    <w:rsid w:val="008245FB"/>
    <w:rsid w:val="00832293"/>
    <w:rsid w:val="0086543C"/>
    <w:rsid w:val="00882B12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44F4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778D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13953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9A44F4"/>
    <w:pPr>
      <w:spacing w:after="0"/>
    </w:pPr>
    <w:rPr>
      <w:rFonts w:ascii="Times New Roman" w:hAnsi="Times New Roman"/>
      <w:snapToGrid w:val="0"/>
      <w:sz w:val="24"/>
      <w:lang w:val="en-US"/>
    </w:rPr>
  </w:style>
  <w:style w:type="paragraph" w:customStyle="1" w:styleId="TableText">
    <w:name w:val="Table Text"/>
    <w:basedOn w:val="Normal"/>
    <w:rsid w:val="009A44F4"/>
    <w:pPr>
      <w:tabs>
        <w:tab w:val="decimal" w:pos="0"/>
      </w:tabs>
      <w:spacing w:after="0"/>
    </w:pPr>
    <w:rPr>
      <w:rFonts w:ascii="Times New Roman" w:hAnsi="Times New Roman"/>
      <w:sz w:val="24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9A44F4"/>
    <w:pPr>
      <w:spacing w:after="0"/>
    </w:pPr>
    <w:rPr>
      <w:rFonts w:ascii="Times New Roman" w:hAnsi="Times New Roman"/>
      <w:snapToGrid w:val="0"/>
      <w:sz w:val="24"/>
      <w:lang w:val="en-US"/>
    </w:rPr>
  </w:style>
  <w:style w:type="paragraph" w:customStyle="1" w:styleId="TableText">
    <w:name w:val="Table Text"/>
    <w:basedOn w:val="Normal"/>
    <w:rsid w:val="009A44F4"/>
    <w:pPr>
      <w:tabs>
        <w:tab w:val="decimal" w:pos="0"/>
      </w:tabs>
      <w:spacing w:after="0"/>
    </w:pPr>
    <w:rPr>
      <w:rFonts w:ascii="Times New Roman" w:hAnsi="Times New Roman"/>
      <w:sz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6</cp:revision>
  <cp:lastPrinted>2010-04-05T08:13:00Z</cp:lastPrinted>
  <dcterms:created xsi:type="dcterms:W3CDTF">2015-02-15T08:08:00Z</dcterms:created>
  <dcterms:modified xsi:type="dcterms:W3CDTF">2015-02-15T08:16:00Z</dcterms:modified>
</cp:coreProperties>
</file>